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3DC" w:rsidRPr="00474F21" w:rsidRDefault="00B353DC" w:rsidP="00D85EB5">
      <w:pPr>
        <w:pStyle w:val="Heading1"/>
        <w:rPr>
          <w:lang w:val="en-AU"/>
        </w:rPr>
      </w:pPr>
      <w:bookmarkStart w:id="0" w:name="_Toc175553503"/>
      <w:bookmarkStart w:id="1" w:name="_Toc175727453"/>
      <w:bookmarkStart w:id="2" w:name="_GoBack"/>
      <w:bookmarkEnd w:id="2"/>
      <w:r w:rsidRPr="00474F21">
        <w:rPr>
          <w:lang w:val="en-AU"/>
        </w:rPr>
        <w:t>AGE Working Together with EEE</w:t>
      </w:r>
      <w:bookmarkEnd w:id="0"/>
      <w:bookmarkEnd w:id="1"/>
    </w:p>
    <w:p w:rsidR="00B353DC" w:rsidRPr="00474F21" w:rsidRDefault="00B353DC" w:rsidP="00D85EB5">
      <w:pPr>
        <w:pStyle w:val="Heading2"/>
        <w:rPr>
          <w:lang w:val="en-AU"/>
        </w:rPr>
      </w:pPr>
      <w:bookmarkStart w:id="3" w:name="_Toc175553504"/>
      <w:bookmarkStart w:id="4" w:name="_Toc175727454"/>
      <w:r w:rsidRPr="00474F21">
        <w:rPr>
          <w:lang w:val="en-AU"/>
        </w:rPr>
        <w:t>Summary</w:t>
      </w:r>
      <w:bookmarkEnd w:id="3"/>
      <w:bookmarkEnd w:id="4"/>
    </w:p>
    <w:p w:rsidR="00B353DC" w:rsidRPr="00474F21" w:rsidRDefault="00B353DC" w:rsidP="007C4C2E">
      <w:pPr>
        <w:rPr>
          <w:lang w:val="en-AU"/>
        </w:rPr>
      </w:pPr>
      <w:r w:rsidRPr="00474F21">
        <w:rPr>
          <w:lang w:val="en-AU"/>
        </w:rPr>
        <w:t>Environmental Equilibrium for Earth (EEE) is an environmental monitoring group that has, for the last decade, conducted research into the frog populations of the South East region. The results of the census enable an assessment to be made of the water quality in the region and repeated surveys provide a means of monitoring the ongoing health of the waterways in the region. The census is due to be conducted in September.</w:t>
      </w:r>
    </w:p>
    <w:p w:rsidR="00B353DC" w:rsidRPr="00474F21" w:rsidRDefault="00B353DC" w:rsidP="007C4C2E">
      <w:pPr>
        <w:rPr>
          <w:lang w:val="en-AU"/>
        </w:rPr>
      </w:pPr>
      <w:r w:rsidRPr="00474F21">
        <w:rPr>
          <w:lang w:val="en-AU"/>
        </w:rPr>
        <w:t>The frog census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and recording and photographing any frogs or tadpoles that exist in the body of water they are assessing.</w:t>
      </w:r>
    </w:p>
    <w:p w:rsidR="00B353DC" w:rsidRPr="00474F21" w:rsidRDefault="00B353DC" w:rsidP="007C4C2E">
      <w:pPr>
        <w:rPr>
          <w:lang w:val="en-AU"/>
        </w:rPr>
      </w:pPr>
      <w:r w:rsidRPr="00474F21">
        <w:rPr>
          <w:lang w:val="en-AU"/>
        </w:rPr>
        <w:t>The collected data is analysed and compared to previous years to determine the condition of the environment and, in particular, the quality of the bodies of water. This information assists EEE to lobby local government agencies for their support in programmes to maintain or achieve good health in local waterways and reservoirs.</w:t>
      </w:r>
    </w:p>
    <w:p w:rsidR="00474F21" w:rsidRPr="00474F21" w:rsidRDefault="00474F21" w:rsidP="00D85EB5">
      <w:pPr>
        <w:pStyle w:val="Heading2"/>
        <w:rPr>
          <w:lang w:val="en-AU"/>
        </w:rPr>
      </w:pPr>
      <w:bookmarkStart w:id="5" w:name="_Toc175727455"/>
      <w:bookmarkStart w:id="6" w:name="_Toc175727456"/>
      <w:r w:rsidRPr="00474F21">
        <w:rPr>
          <w:lang w:val="en-AU"/>
        </w:rPr>
        <w:t>Geographical Regions Surveyed</w:t>
      </w:r>
      <w:bookmarkEnd w:id="5"/>
    </w:p>
    <w:p w:rsidR="00474F21" w:rsidRPr="00474F21" w:rsidRDefault="00474F21" w:rsidP="00474F21">
      <w:pPr>
        <w:rPr>
          <w:lang w:val="en-AU"/>
        </w:rPr>
      </w:pPr>
      <w:r w:rsidRPr="00474F21">
        <w:rPr>
          <w:lang w:val="en-AU"/>
        </w:rPr>
        <w:t>The volunteers and members of EEE will assess approximately 1200 different water sources within the South East region. This region is divided into 15 geographical regions:</w:t>
      </w:r>
    </w:p>
    <w:p w:rsidR="00474F21" w:rsidRPr="00474F21" w:rsidRDefault="00474F21" w:rsidP="00474F21">
      <w:pPr>
        <w:spacing w:after="120"/>
        <w:rPr>
          <w:lang w:val="en-AU"/>
        </w:rPr>
      </w:pPr>
      <w:r w:rsidRPr="00474F21">
        <w:rPr>
          <w:lang w:val="en-AU"/>
        </w:rPr>
        <w:t>Southern Peninsula</w:t>
      </w:r>
    </w:p>
    <w:p w:rsidR="00474F21" w:rsidRPr="00474F21" w:rsidRDefault="00474F21" w:rsidP="00474F21">
      <w:pPr>
        <w:spacing w:after="120"/>
        <w:rPr>
          <w:lang w:val="en-AU"/>
        </w:rPr>
      </w:pPr>
      <w:r w:rsidRPr="00474F21">
        <w:rPr>
          <w:lang w:val="en-AU"/>
        </w:rPr>
        <w:t>Woden Valley</w:t>
      </w:r>
    </w:p>
    <w:p w:rsidR="00474F21" w:rsidRPr="00474F21" w:rsidRDefault="00474F21" w:rsidP="00474F21">
      <w:pPr>
        <w:spacing w:after="120"/>
        <w:rPr>
          <w:lang w:val="en-AU"/>
        </w:rPr>
      </w:pPr>
      <w:r w:rsidRPr="00474F21">
        <w:rPr>
          <w:lang w:val="en-AU"/>
        </w:rPr>
        <w:t>Flint Island</w:t>
      </w:r>
    </w:p>
    <w:p w:rsidR="00474F21" w:rsidRPr="00474F21" w:rsidRDefault="00474F21" w:rsidP="00474F21">
      <w:pPr>
        <w:spacing w:after="120"/>
        <w:rPr>
          <w:lang w:val="en-AU"/>
        </w:rPr>
      </w:pPr>
      <w:r w:rsidRPr="00474F21">
        <w:rPr>
          <w:lang w:val="en-AU"/>
        </w:rPr>
        <w:t>North East</w:t>
      </w:r>
    </w:p>
    <w:p w:rsidR="00474F21" w:rsidRPr="00474F21" w:rsidRDefault="00474F21" w:rsidP="00474F21">
      <w:pPr>
        <w:spacing w:after="120"/>
        <w:rPr>
          <w:lang w:val="en-AU"/>
        </w:rPr>
      </w:pPr>
      <w:r w:rsidRPr="00474F21">
        <w:rPr>
          <w:lang w:val="en-AU"/>
        </w:rPr>
        <w:t>South East</w:t>
      </w:r>
    </w:p>
    <w:p w:rsidR="00474F21" w:rsidRPr="00474F21" w:rsidRDefault="00474F21" w:rsidP="00474F21">
      <w:pPr>
        <w:spacing w:after="120"/>
        <w:rPr>
          <w:lang w:val="en-AU"/>
        </w:rPr>
      </w:pPr>
      <w:r w:rsidRPr="00474F21">
        <w:rPr>
          <w:lang w:val="en-AU"/>
        </w:rPr>
        <w:t>South West</w:t>
      </w:r>
    </w:p>
    <w:p w:rsidR="00474F21" w:rsidRPr="00474F21" w:rsidRDefault="00474F21" w:rsidP="00474F21">
      <w:pPr>
        <w:spacing w:after="120"/>
        <w:rPr>
          <w:lang w:val="en-AU"/>
        </w:rPr>
      </w:pPr>
      <w:r w:rsidRPr="00474F21">
        <w:rPr>
          <w:lang w:val="en-AU"/>
        </w:rPr>
        <w:t>North West</w:t>
      </w:r>
    </w:p>
    <w:p w:rsidR="00474F21" w:rsidRPr="00474F21" w:rsidRDefault="00474F21" w:rsidP="00474F21">
      <w:pPr>
        <w:spacing w:after="120"/>
        <w:rPr>
          <w:lang w:val="en-AU"/>
        </w:rPr>
      </w:pPr>
      <w:r w:rsidRPr="00474F21">
        <w:rPr>
          <w:lang w:val="en-AU"/>
        </w:rPr>
        <w:t>Bennetts Peninsula</w:t>
      </w:r>
    </w:p>
    <w:p w:rsidR="00474F21" w:rsidRPr="00474F21" w:rsidRDefault="00474F21" w:rsidP="00474F21">
      <w:pPr>
        <w:spacing w:after="120"/>
        <w:rPr>
          <w:lang w:val="en-AU"/>
        </w:rPr>
      </w:pPr>
      <w:r w:rsidRPr="00474F21">
        <w:rPr>
          <w:lang w:val="en-AU"/>
        </w:rPr>
        <w:t>Felton Ranges</w:t>
      </w:r>
    </w:p>
    <w:p w:rsidR="00474F21" w:rsidRPr="00474F21" w:rsidRDefault="00474F21" w:rsidP="00474F21">
      <w:pPr>
        <w:spacing w:after="120"/>
        <w:rPr>
          <w:lang w:val="en-AU"/>
        </w:rPr>
      </w:pPr>
      <w:r w:rsidRPr="00474F21">
        <w:rPr>
          <w:lang w:val="en-AU"/>
        </w:rPr>
        <w:t>Smithson Range</w:t>
      </w:r>
    </w:p>
    <w:p w:rsidR="00474F21" w:rsidRPr="00474F21" w:rsidRDefault="00474F21" w:rsidP="00474F21">
      <w:pPr>
        <w:spacing w:after="120"/>
        <w:rPr>
          <w:lang w:val="en-AU"/>
        </w:rPr>
      </w:pPr>
      <w:r w:rsidRPr="00474F21">
        <w:rPr>
          <w:lang w:val="en-AU"/>
        </w:rPr>
        <w:t>Central Plains</w:t>
      </w:r>
    </w:p>
    <w:p w:rsidR="00474F21" w:rsidRPr="00474F21" w:rsidRDefault="00474F21" w:rsidP="00474F21">
      <w:pPr>
        <w:spacing w:after="120"/>
        <w:rPr>
          <w:lang w:val="en-AU"/>
        </w:rPr>
      </w:pPr>
      <w:r w:rsidRPr="00474F21">
        <w:rPr>
          <w:lang w:val="en-AU"/>
        </w:rPr>
        <w:t>Northern Plains</w:t>
      </w:r>
    </w:p>
    <w:p w:rsidR="00474F21" w:rsidRPr="00474F21" w:rsidRDefault="00474F21" w:rsidP="00474F21">
      <w:pPr>
        <w:spacing w:after="120"/>
        <w:rPr>
          <w:lang w:val="en-AU"/>
        </w:rPr>
      </w:pPr>
      <w:r w:rsidRPr="00474F21">
        <w:rPr>
          <w:lang w:val="en-AU"/>
        </w:rPr>
        <w:t>Southcombe Valley</w:t>
      </w:r>
    </w:p>
    <w:p w:rsidR="00474F21" w:rsidRPr="00474F21" w:rsidRDefault="00474F21" w:rsidP="00474F21">
      <w:pPr>
        <w:spacing w:after="120"/>
        <w:rPr>
          <w:lang w:val="en-AU"/>
        </w:rPr>
      </w:pPr>
      <w:r w:rsidRPr="00474F21">
        <w:rPr>
          <w:lang w:val="en-AU"/>
        </w:rPr>
        <w:t>Fleet Range</w:t>
      </w:r>
    </w:p>
    <w:p w:rsidR="00474F21" w:rsidRPr="00474F21" w:rsidRDefault="00474F21" w:rsidP="00D85EB5">
      <w:pPr>
        <w:pStyle w:val="Heading2"/>
        <w:rPr>
          <w:lang w:val="en-AU"/>
        </w:rPr>
      </w:pPr>
      <w:r w:rsidRPr="00474F21">
        <w:rPr>
          <w:lang w:val="en-AU"/>
        </w:rPr>
        <w:lastRenderedPageBreak/>
        <w:t>Habitats Surveyed</w:t>
      </w:r>
      <w:bookmarkEnd w:id="6"/>
    </w:p>
    <w:p w:rsidR="00474F21" w:rsidRPr="00474F21" w:rsidRDefault="00474F21" w:rsidP="00474F21">
      <w:pPr>
        <w:rPr>
          <w:lang w:val="en-AU"/>
        </w:rPr>
      </w:pPr>
      <w:r w:rsidRPr="00474F21">
        <w:rPr>
          <w:lang w:val="en-AU"/>
        </w:rPr>
        <w:t>The aquatic habitats examined in the South East region will include:</w:t>
      </w:r>
    </w:p>
    <w:p w:rsidR="00474F21" w:rsidRPr="00474F21" w:rsidRDefault="00474F21" w:rsidP="00474F21">
      <w:pPr>
        <w:spacing w:after="120"/>
        <w:rPr>
          <w:lang w:val="en-AU"/>
        </w:rPr>
      </w:pPr>
      <w:r w:rsidRPr="00474F21">
        <w:rPr>
          <w:lang w:val="en-AU"/>
        </w:rPr>
        <w:t>Quarry</w:t>
      </w:r>
    </w:p>
    <w:p w:rsidR="00474F21" w:rsidRPr="00474F21" w:rsidRDefault="00474F21" w:rsidP="00474F21">
      <w:pPr>
        <w:spacing w:after="120"/>
        <w:rPr>
          <w:lang w:val="en-AU"/>
        </w:rPr>
      </w:pPr>
      <w:r w:rsidRPr="00474F21">
        <w:rPr>
          <w:lang w:val="en-AU"/>
        </w:rPr>
        <w:t>Pond</w:t>
      </w:r>
    </w:p>
    <w:p w:rsidR="00474F21" w:rsidRPr="00474F21" w:rsidRDefault="00474F21" w:rsidP="00474F21">
      <w:pPr>
        <w:spacing w:after="120"/>
        <w:rPr>
          <w:lang w:val="en-AU"/>
        </w:rPr>
      </w:pPr>
      <w:r w:rsidRPr="00474F21">
        <w:rPr>
          <w:lang w:val="en-AU"/>
        </w:rPr>
        <w:t>Sheep Dip</w:t>
      </w:r>
    </w:p>
    <w:p w:rsidR="00474F21" w:rsidRPr="00474F21" w:rsidRDefault="00474F21" w:rsidP="00474F21">
      <w:pPr>
        <w:spacing w:after="120"/>
        <w:rPr>
          <w:lang w:val="en-AU"/>
        </w:rPr>
      </w:pPr>
      <w:r w:rsidRPr="00474F21">
        <w:rPr>
          <w:lang w:val="en-AU"/>
        </w:rPr>
        <w:t>Billabong</w:t>
      </w:r>
    </w:p>
    <w:p w:rsidR="00474F21" w:rsidRPr="00474F21" w:rsidRDefault="00474F21" w:rsidP="00474F21">
      <w:pPr>
        <w:spacing w:after="120"/>
        <w:rPr>
          <w:lang w:val="en-AU"/>
        </w:rPr>
      </w:pPr>
      <w:r w:rsidRPr="00474F21">
        <w:rPr>
          <w:lang w:val="en-AU"/>
        </w:rPr>
        <w:t>River</w:t>
      </w:r>
    </w:p>
    <w:p w:rsidR="00474F21" w:rsidRPr="00474F21" w:rsidRDefault="00474F21" w:rsidP="00474F21">
      <w:pPr>
        <w:spacing w:after="120"/>
        <w:rPr>
          <w:lang w:val="en-AU"/>
        </w:rPr>
      </w:pPr>
      <w:r w:rsidRPr="00474F21">
        <w:rPr>
          <w:lang w:val="en-AU"/>
        </w:rPr>
        <w:t>Creek</w:t>
      </w:r>
    </w:p>
    <w:p w:rsidR="00474F21" w:rsidRPr="00474F21" w:rsidRDefault="00474F21" w:rsidP="00474F21">
      <w:pPr>
        <w:spacing w:after="120"/>
        <w:rPr>
          <w:lang w:val="en-AU"/>
        </w:rPr>
      </w:pPr>
      <w:r w:rsidRPr="00474F21">
        <w:rPr>
          <w:lang w:val="en-AU"/>
        </w:rPr>
        <w:t>Dam</w:t>
      </w:r>
    </w:p>
    <w:p w:rsidR="00474F21" w:rsidRPr="00474F21" w:rsidRDefault="00474F21" w:rsidP="00474F21">
      <w:pPr>
        <w:spacing w:after="120"/>
        <w:rPr>
          <w:lang w:val="en-AU"/>
        </w:rPr>
      </w:pPr>
      <w:r w:rsidRPr="00474F21">
        <w:rPr>
          <w:lang w:val="en-AU"/>
        </w:rPr>
        <w:t>Drain</w:t>
      </w:r>
    </w:p>
    <w:p w:rsidR="00474F21" w:rsidRPr="00474F21" w:rsidRDefault="00474F21" w:rsidP="00474F21">
      <w:pPr>
        <w:spacing w:after="120"/>
        <w:rPr>
          <w:lang w:val="en-AU"/>
        </w:rPr>
      </w:pPr>
      <w:r w:rsidRPr="00474F21">
        <w:rPr>
          <w:lang w:val="en-AU"/>
        </w:rPr>
        <w:t>Toilet</w:t>
      </w:r>
    </w:p>
    <w:p w:rsidR="00474F21" w:rsidRPr="00474F21" w:rsidRDefault="00474F21" w:rsidP="00474F21">
      <w:pPr>
        <w:spacing w:after="120"/>
        <w:rPr>
          <w:lang w:val="en-AU"/>
        </w:rPr>
      </w:pPr>
      <w:r w:rsidRPr="00474F21">
        <w:rPr>
          <w:lang w:val="en-AU"/>
        </w:rPr>
        <w:t>Stream</w:t>
      </w:r>
    </w:p>
    <w:p w:rsidR="00474F21" w:rsidRPr="00474F21" w:rsidRDefault="00474F21" w:rsidP="00474F21">
      <w:pPr>
        <w:spacing w:after="120"/>
        <w:rPr>
          <w:lang w:val="en-AU"/>
        </w:rPr>
      </w:pPr>
      <w:r w:rsidRPr="00474F21">
        <w:rPr>
          <w:lang w:val="en-AU"/>
        </w:rPr>
        <w:t>Swimming Pool</w:t>
      </w:r>
    </w:p>
    <w:p w:rsidR="00474F21" w:rsidRPr="00474F21" w:rsidRDefault="00474F21" w:rsidP="00474F21">
      <w:pPr>
        <w:spacing w:after="120"/>
        <w:rPr>
          <w:lang w:val="en-AU"/>
        </w:rPr>
      </w:pPr>
      <w:r w:rsidRPr="00474F21">
        <w:rPr>
          <w:lang w:val="en-AU"/>
        </w:rPr>
        <w:t>Marsh</w:t>
      </w:r>
    </w:p>
    <w:p w:rsidR="00474F21" w:rsidRPr="00474F21" w:rsidRDefault="00474F21" w:rsidP="00474F21">
      <w:pPr>
        <w:spacing w:after="120"/>
        <w:rPr>
          <w:lang w:val="en-AU"/>
        </w:rPr>
      </w:pPr>
      <w:r w:rsidRPr="00474F21">
        <w:rPr>
          <w:lang w:val="en-AU"/>
        </w:rPr>
        <w:t>Garden Pond</w:t>
      </w:r>
    </w:p>
    <w:p w:rsidR="00474F21" w:rsidRPr="00474F21" w:rsidRDefault="00474F21" w:rsidP="00474F21">
      <w:pPr>
        <w:spacing w:after="120"/>
        <w:rPr>
          <w:lang w:val="en-AU"/>
        </w:rPr>
      </w:pPr>
      <w:r w:rsidRPr="00474F21">
        <w:rPr>
          <w:lang w:val="en-AU"/>
        </w:rPr>
        <w:t>Turf/Grass</w:t>
      </w:r>
    </w:p>
    <w:p w:rsidR="00474F21" w:rsidRPr="00474F21" w:rsidRDefault="00474F21" w:rsidP="00474F21">
      <w:pPr>
        <w:rPr>
          <w:lang w:val="en-AU"/>
        </w:rPr>
      </w:pPr>
      <w:r w:rsidRPr="00474F21">
        <w:rPr>
          <w:lang w:val="en-AU"/>
        </w:rPr>
        <w:t>Trees/Plants</w:t>
      </w:r>
    </w:p>
    <w:p w:rsidR="00474F21" w:rsidRPr="00474F21" w:rsidRDefault="00474F21" w:rsidP="00D85EB5">
      <w:pPr>
        <w:pStyle w:val="Heading2"/>
        <w:rPr>
          <w:lang w:val="en-AU"/>
        </w:rPr>
      </w:pPr>
      <w:bookmarkStart w:id="7" w:name="_Toc175727457"/>
      <w:r w:rsidRPr="00474F21">
        <w:rPr>
          <w:lang w:val="en-AU"/>
        </w:rPr>
        <w:t>Census Summary</w:t>
      </w:r>
      <w:bookmarkEnd w:id="7"/>
    </w:p>
    <w:p w:rsidR="00474F21" w:rsidRPr="00474F21" w:rsidRDefault="00474F21" w:rsidP="00474F21">
      <w:pPr>
        <w:rPr>
          <w:lang w:val="en-AU"/>
        </w:rPr>
      </w:pPr>
      <w:r w:rsidRPr="00474F21">
        <w:rPr>
          <w:lang w:val="en-AU"/>
        </w:rPr>
        <w:t>The last five years has seen a marked increase in the levels of participation in, and hence success of, the frog census. Partly this is due to improved marketing and advertising strategies, but one can not overlook the incredible effectiveness of word of mouth.</w:t>
      </w:r>
    </w:p>
    <w:p w:rsidR="00474F21" w:rsidRPr="00474F21" w:rsidRDefault="00474F21" w:rsidP="00474F21">
      <w:pPr>
        <w:rPr>
          <w:lang w:val="en-AU"/>
        </w:rPr>
      </w:pPr>
      <w:r w:rsidRPr="00474F21">
        <w:rPr>
          <w:lang w:val="en-AU"/>
        </w:rPr>
        <w:t>Below is a chart summarising each census over the previous five years:</w:t>
      </w:r>
    </w:p>
    <w:p w:rsidR="00474F21" w:rsidRPr="00474F21" w:rsidRDefault="00474F21" w:rsidP="00474F21">
      <w:pPr>
        <w:rPr>
          <w:lang w:val="en-AU"/>
        </w:rPr>
        <w:sectPr w:rsidR="00474F21" w:rsidRPr="00474F21" w:rsidSect="00031FEF">
          <w:type w:val="continuous"/>
          <w:pgSz w:w="11907" w:h="16840" w:code="9"/>
          <w:pgMar w:top="1438" w:right="1814" w:bottom="1617" w:left="1440" w:header="720" w:footer="720" w:gutter="0"/>
          <w:cols w:space="720" w:equalWidth="0">
            <w:col w:w="8653" w:space="720"/>
          </w:cols>
          <w:docGrid w:linePitch="360"/>
        </w:sectPr>
      </w:pPr>
      <w:r w:rsidRPr="00474F21">
        <w:rPr>
          <w:noProof/>
          <w:lang w:val="en-AU" w:eastAsia="en-AU" w:bidi="ar-SA"/>
        </w:rPr>
        <w:drawing>
          <wp:anchor distT="0" distB="0" distL="114300" distR="114300" simplePos="0" relativeHeight="251659264" behindDoc="0" locked="0" layoutInCell="1" allowOverlap="1">
            <wp:simplePos x="0" y="0"/>
            <wp:positionH relativeFrom="column">
              <wp:posOffset>0</wp:posOffset>
            </wp:positionH>
            <wp:positionV relativeFrom="paragraph">
              <wp:posOffset>-2540</wp:posOffset>
            </wp:positionV>
            <wp:extent cx="2628900" cy="1837055"/>
            <wp:effectExtent l="19050" t="0" r="19050" b="0"/>
            <wp:wrapNone/>
            <wp:docPr id="3" name="Char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474F21" w:rsidRPr="00474F21" w:rsidRDefault="00474F21" w:rsidP="00474F21">
      <w:pPr>
        <w:rPr>
          <w:lang w:val="en-AU"/>
        </w:rPr>
      </w:pPr>
    </w:p>
    <w:p w:rsidR="00474F21" w:rsidRPr="00474F21" w:rsidRDefault="00474F21" w:rsidP="00474F21">
      <w:pPr>
        <w:rPr>
          <w:lang w:val="en-AU"/>
        </w:rPr>
      </w:pPr>
    </w:p>
    <w:p w:rsidR="00B353DC" w:rsidRPr="00474F21" w:rsidRDefault="00B353DC" w:rsidP="007C4C2E">
      <w:pPr>
        <w:rPr>
          <w:lang w:val="en-AU"/>
        </w:rPr>
        <w:sectPr w:rsidR="00B353DC" w:rsidRPr="00474F21" w:rsidSect="00031FEF">
          <w:type w:val="continuous"/>
          <w:pgSz w:w="11907" w:h="16840" w:code="9"/>
          <w:pgMar w:top="1438" w:right="1814" w:bottom="1617" w:left="1440" w:header="720" w:footer="720" w:gutter="0"/>
          <w:cols w:space="720" w:equalWidth="0">
            <w:col w:w="8653" w:space="720"/>
          </w:cols>
          <w:docGrid w:linePitch="360"/>
        </w:sectPr>
      </w:pPr>
    </w:p>
    <w:p w:rsidR="00A31E68" w:rsidRPr="00474F21" w:rsidRDefault="00A31E68" w:rsidP="0048673E">
      <w:pPr>
        <w:rPr>
          <w:lang w:val="en-AU"/>
        </w:rPr>
      </w:pPr>
    </w:p>
    <w:sectPr w:rsidR="00A31E68" w:rsidRPr="00474F21" w:rsidSect="00031FEF">
      <w:type w:val="continuous"/>
      <w:pgSz w:w="11907" w:h="16840" w:code="9"/>
      <w:pgMar w:top="1438" w:right="1814" w:bottom="1617"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57B" w:rsidRDefault="00D1157B" w:rsidP="00D35D01">
      <w:pPr>
        <w:spacing w:after="0"/>
      </w:pPr>
      <w:r>
        <w:separator/>
      </w:r>
    </w:p>
  </w:endnote>
  <w:endnote w:type="continuationSeparator" w:id="0">
    <w:p w:rsidR="00D1157B" w:rsidRDefault="00D1157B" w:rsidP="00D35D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57B" w:rsidRDefault="00D1157B" w:rsidP="00D35D01">
      <w:pPr>
        <w:spacing w:after="0"/>
      </w:pPr>
      <w:r>
        <w:separator/>
      </w:r>
    </w:p>
  </w:footnote>
  <w:footnote w:type="continuationSeparator" w:id="0">
    <w:p w:rsidR="00D1157B" w:rsidRDefault="00D1157B" w:rsidP="00D35D0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activeWritingStyle w:appName="MSWord" w:lang="en-AU"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5D2"/>
    <w:rsid w:val="0000612C"/>
    <w:rsid w:val="00022140"/>
    <w:rsid w:val="00031FEF"/>
    <w:rsid w:val="00037D0C"/>
    <w:rsid w:val="00061C0D"/>
    <w:rsid w:val="00080141"/>
    <w:rsid w:val="000A3578"/>
    <w:rsid w:val="000C1D93"/>
    <w:rsid w:val="000C4179"/>
    <w:rsid w:val="000D4C1A"/>
    <w:rsid w:val="000F3E46"/>
    <w:rsid w:val="001005CB"/>
    <w:rsid w:val="00100B52"/>
    <w:rsid w:val="0012328E"/>
    <w:rsid w:val="001670C7"/>
    <w:rsid w:val="001C6120"/>
    <w:rsid w:val="001D634A"/>
    <w:rsid w:val="001E03C3"/>
    <w:rsid w:val="001F593A"/>
    <w:rsid w:val="001F59B0"/>
    <w:rsid w:val="00216E2B"/>
    <w:rsid w:val="00261535"/>
    <w:rsid w:val="002C128A"/>
    <w:rsid w:val="002C31C0"/>
    <w:rsid w:val="002D2843"/>
    <w:rsid w:val="002D6333"/>
    <w:rsid w:val="002F43E6"/>
    <w:rsid w:val="00303538"/>
    <w:rsid w:val="00322DD2"/>
    <w:rsid w:val="00332665"/>
    <w:rsid w:val="0034444E"/>
    <w:rsid w:val="00367927"/>
    <w:rsid w:val="00392269"/>
    <w:rsid w:val="003A4123"/>
    <w:rsid w:val="003A742F"/>
    <w:rsid w:val="003D53C9"/>
    <w:rsid w:val="003E337F"/>
    <w:rsid w:val="003E4F03"/>
    <w:rsid w:val="003F4282"/>
    <w:rsid w:val="00405BAB"/>
    <w:rsid w:val="00415F5A"/>
    <w:rsid w:val="00443A01"/>
    <w:rsid w:val="00454CC4"/>
    <w:rsid w:val="004554D5"/>
    <w:rsid w:val="00474F21"/>
    <w:rsid w:val="00475C9F"/>
    <w:rsid w:val="0048673E"/>
    <w:rsid w:val="004B69FA"/>
    <w:rsid w:val="004C0A1D"/>
    <w:rsid w:val="004D4ECA"/>
    <w:rsid w:val="004D6779"/>
    <w:rsid w:val="004F227B"/>
    <w:rsid w:val="0050741B"/>
    <w:rsid w:val="00524311"/>
    <w:rsid w:val="005377E2"/>
    <w:rsid w:val="005565DA"/>
    <w:rsid w:val="00563E2E"/>
    <w:rsid w:val="00566044"/>
    <w:rsid w:val="00573119"/>
    <w:rsid w:val="00575471"/>
    <w:rsid w:val="005C3BA0"/>
    <w:rsid w:val="005C45D2"/>
    <w:rsid w:val="00607323"/>
    <w:rsid w:val="0061241E"/>
    <w:rsid w:val="006230C7"/>
    <w:rsid w:val="006300E6"/>
    <w:rsid w:val="0063609E"/>
    <w:rsid w:val="006618AC"/>
    <w:rsid w:val="00677B0E"/>
    <w:rsid w:val="00682E26"/>
    <w:rsid w:val="00687067"/>
    <w:rsid w:val="006B7CBE"/>
    <w:rsid w:val="006C4A86"/>
    <w:rsid w:val="006E0BBD"/>
    <w:rsid w:val="006F14C4"/>
    <w:rsid w:val="006F50EB"/>
    <w:rsid w:val="007649AA"/>
    <w:rsid w:val="007868CD"/>
    <w:rsid w:val="00792843"/>
    <w:rsid w:val="007A4543"/>
    <w:rsid w:val="007B597C"/>
    <w:rsid w:val="007D2530"/>
    <w:rsid w:val="007D4603"/>
    <w:rsid w:val="00802D27"/>
    <w:rsid w:val="00843397"/>
    <w:rsid w:val="00892347"/>
    <w:rsid w:val="00895429"/>
    <w:rsid w:val="008E450D"/>
    <w:rsid w:val="008F0AD4"/>
    <w:rsid w:val="008F1B15"/>
    <w:rsid w:val="00902A9E"/>
    <w:rsid w:val="00911DF8"/>
    <w:rsid w:val="00923A0A"/>
    <w:rsid w:val="00926877"/>
    <w:rsid w:val="00941F46"/>
    <w:rsid w:val="00944706"/>
    <w:rsid w:val="00946CA2"/>
    <w:rsid w:val="00983947"/>
    <w:rsid w:val="00997BE6"/>
    <w:rsid w:val="009B6890"/>
    <w:rsid w:val="009D5499"/>
    <w:rsid w:val="009F5DCC"/>
    <w:rsid w:val="00A00089"/>
    <w:rsid w:val="00A05C23"/>
    <w:rsid w:val="00A14530"/>
    <w:rsid w:val="00A31E68"/>
    <w:rsid w:val="00A33445"/>
    <w:rsid w:val="00A43F77"/>
    <w:rsid w:val="00A553AE"/>
    <w:rsid w:val="00A61E9C"/>
    <w:rsid w:val="00A67CEC"/>
    <w:rsid w:val="00A9335D"/>
    <w:rsid w:val="00AA0D46"/>
    <w:rsid w:val="00B15088"/>
    <w:rsid w:val="00B21DC1"/>
    <w:rsid w:val="00B353DC"/>
    <w:rsid w:val="00B5012F"/>
    <w:rsid w:val="00B654C4"/>
    <w:rsid w:val="00B71125"/>
    <w:rsid w:val="00BC5171"/>
    <w:rsid w:val="00BF07B8"/>
    <w:rsid w:val="00BF24E8"/>
    <w:rsid w:val="00C14EAD"/>
    <w:rsid w:val="00C279DB"/>
    <w:rsid w:val="00C7649E"/>
    <w:rsid w:val="00C84F8C"/>
    <w:rsid w:val="00CA49D3"/>
    <w:rsid w:val="00CD0382"/>
    <w:rsid w:val="00D1157B"/>
    <w:rsid w:val="00D25662"/>
    <w:rsid w:val="00D35D01"/>
    <w:rsid w:val="00D375A1"/>
    <w:rsid w:val="00D40472"/>
    <w:rsid w:val="00D47B76"/>
    <w:rsid w:val="00D56AFC"/>
    <w:rsid w:val="00D664A4"/>
    <w:rsid w:val="00D85EB5"/>
    <w:rsid w:val="00DA1C48"/>
    <w:rsid w:val="00DA2016"/>
    <w:rsid w:val="00DB0BD2"/>
    <w:rsid w:val="00DB314F"/>
    <w:rsid w:val="00DB7494"/>
    <w:rsid w:val="00DC5BF0"/>
    <w:rsid w:val="00DF13CD"/>
    <w:rsid w:val="00E21298"/>
    <w:rsid w:val="00E7120C"/>
    <w:rsid w:val="00E97B31"/>
    <w:rsid w:val="00ED161D"/>
    <w:rsid w:val="00ED5684"/>
    <w:rsid w:val="00EE735A"/>
    <w:rsid w:val="00F12293"/>
    <w:rsid w:val="00F43971"/>
    <w:rsid w:val="00F70879"/>
    <w:rsid w:val="00F76097"/>
    <w:rsid w:val="00F84978"/>
    <w:rsid w:val="00F86086"/>
    <w:rsid w:val="00F87D2F"/>
    <w:rsid w:val="00FA4CBD"/>
    <w:rsid w:val="00FA6439"/>
    <w:rsid w:val="00FC75C0"/>
    <w:rsid w:val="00FD55CC"/>
    <w:rsid w:val="00FF56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0C7"/>
  </w:style>
  <w:style w:type="paragraph" w:styleId="Heading1">
    <w:name w:val="heading 1"/>
    <w:basedOn w:val="Normal"/>
    <w:next w:val="Normal"/>
    <w:link w:val="Heading1Char"/>
    <w:uiPriority w:val="9"/>
    <w:qFormat/>
    <w:rsid w:val="001670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70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70C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670C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70C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70C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70C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670C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670C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670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customStyle="1" w:styleId="SubTitle">
    <w:name w:val="Sub Title"/>
    <w:basedOn w:val="Normal"/>
    <w:rsid w:val="00983947"/>
    <w:pPr>
      <w:jc w:val="center"/>
    </w:pPr>
    <w:rPr>
      <w:i/>
      <w:iCs/>
      <w:sz w:val="36"/>
    </w:rPr>
  </w:style>
  <w:style w:type="paragraph" w:styleId="Subtitle0">
    <w:name w:val="Subtitle"/>
    <w:basedOn w:val="Normal"/>
    <w:next w:val="Normal"/>
    <w:link w:val="SubtitleChar"/>
    <w:uiPriority w:val="11"/>
    <w:qFormat/>
    <w:rsid w:val="001670C7"/>
    <w:pPr>
      <w:numPr>
        <w:ilvl w:val="1"/>
      </w:numPr>
    </w:pPr>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rsid w:val="00D35D01"/>
    <w:pPr>
      <w:tabs>
        <w:tab w:val="center" w:pos="4513"/>
        <w:tab w:val="right" w:pos="9026"/>
      </w:tabs>
      <w:spacing w:after="0"/>
    </w:pPr>
  </w:style>
  <w:style w:type="character" w:customStyle="1" w:styleId="HeaderChar">
    <w:name w:val="Header Char"/>
    <w:basedOn w:val="DefaultParagraphFont"/>
    <w:link w:val="Header"/>
    <w:rsid w:val="00D35D01"/>
    <w:rPr>
      <w:rFonts w:ascii="Arial" w:hAnsi="Arial"/>
      <w:sz w:val="24"/>
      <w:szCs w:val="24"/>
      <w:lang w:eastAsia="en-US"/>
    </w:rPr>
  </w:style>
  <w:style w:type="paragraph" w:styleId="Footer">
    <w:name w:val="footer"/>
    <w:basedOn w:val="Normal"/>
    <w:link w:val="FooterChar"/>
    <w:rsid w:val="00D35D01"/>
    <w:pPr>
      <w:tabs>
        <w:tab w:val="center" w:pos="4513"/>
        <w:tab w:val="right" w:pos="9026"/>
      </w:tabs>
      <w:spacing w:after="0"/>
    </w:pPr>
  </w:style>
  <w:style w:type="character" w:customStyle="1" w:styleId="FooterChar">
    <w:name w:val="Footer Char"/>
    <w:basedOn w:val="DefaultParagraphFont"/>
    <w:link w:val="Footer"/>
    <w:rsid w:val="00D35D01"/>
    <w:rPr>
      <w:rFonts w:ascii="Arial" w:hAnsi="Arial"/>
      <w:sz w:val="24"/>
      <w:szCs w:val="24"/>
      <w:lang w:eastAsia="en-US"/>
    </w:rPr>
  </w:style>
  <w:style w:type="character" w:customStyle="1" w:styleId="Heading1Char">
    <w:name w:val="Heading 1 Char"/>
    <w:basedOn w:val="DefaultParagraphFont"/>
    <w:link w:val="Heading1"/>
    <w:uiPriority w:val="9"/>
    <w:rsid w:val="001670C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670C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670C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670C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670C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670C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670C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670C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1670C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670C7"/>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1670C7"/>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0"/>
    <w:uiPriority w:val="11"/>
    <w:rsid w:val="001670C7"/>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670C7"/>
    <w:rPr>
      <w:b/>
      <w:bCs/>
    </w:rPr>
  </w:style>
  <w:style w:type="character" w:styleId="Emphasis">
    <w:name w:val="Emphasis"/>
    <w:basedOn w:val="DefaultParagraphFont"/>
    <w:uiPriority w:val="20"/>
    <w:qFormat/>
    <w:rsid w:val="001670C7"/>
    <w:rPr>
      <w:i/>
      <w:iCs/>
    </w:rPr>
  </w:style>
  <w:style w:type="paragraph" w:styleId="NoSpacing">
    <w:name w:val="No Spacing"/>
    <w:uiPriority w:val="1"/>
    <w:qFormat/>
    <w:rsid w:val="001670C7"/>
    <w:pPr>
      <w:spacing w:after="0" w:line="240" w:lineRule="auto"/>
    </w:pPr>
  </w:style>
  <w:style w:type="paragraph" w:styleId="ListParagraph">
    <w:name w:val="List Paragraph"/>
    <w:basedOn w:val="Normal"/>
    <w:uiPriority w:val="34"/>
    <w:qFormat/>
    <w:rsid w:val="001670C7"/>
    <w:pPr>
      <w:ind w:left="720"/>
      <w:contextualSpacing/>
    </w:pPr>
  </w:style>
  <w:style w:type="paragraph" w:styleId="Quote">
    <w:name w:val="Quote"/>
    <w:basedOn w:val="Normal"/>
    <w:next w:val="Normal"/>
    <w:link w:val="QuoteChar"/>
    <w:uiPriority w:val="29"/>
    <w:qFormat/>
    <w:rsid w:val="001670C7"/>
    <w:rPr>
      <w:i/>
      <w:iCs/>
      <w:color w:val="000000" w:themeColor="text1"/>
    </w:rPr>
  </w:style>
  <w:style w:type="character" w:customStyle="1" w:styleId="QuoteChar">
    <w:name w:val="Quote Char"/>
    <w:basedOn w:val="DefaultParagraphFont"/>
    <w:link w:val="Quote"/>
    <w:uiPriority w:val="29"/>
    <w:rsid w:val="001670C7"/>
    <w:rPr>
      <w:i/>
      <w:iCs/>
      <w:color w:val="000000" w:themeColor="text1"/>
    </w:rPr>
  </w:style>
  <w:style w:type="paragraph" w:styleId="IntenseQuote">
    <w:name w:val="Intense Quote"/>
    <w:basedOn w:val="Normal"/>
    <w:next w:val="Normal"/>
    <w:link w:val="IntenseQuoteChar"/>
    <w:uiPriority w:val="30"/>
    <w:qFormat/>
    <w:rsid w:val="001670C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670C7"/>
    <w:rPr>
      <w:b/>
      <w:bCs/>
      <w:i/>
      <w:iCs/>
      <w:color w:val="4F81BD" w:themeColor="accent1"/>
    </w:rPr>
  </w:style>
  <w:style w:type="character" w:styleId="SubtleEmphasis">
    <w:name w:val="Subtle Emphasis"/>
    <w:basedOn w:val="DefaultParagraphFont"/>
    <w:uiPriority w:val="19"/>
    <w:qFormat/>
    <w:rsid w:val="001670C7"/>
    <w:rPr>
      <w:i/>
      <w:iCs/>
      <w:color w:val="808080" w:themeColor="text1" w:themeTint="7F"/>
    </w:rPr>
  </w:style>
  <w:style w:type="character" w:styleId="IntenseEmphasis">
    <w:name w:val="Intense Emphasis"/>
    <w:basedOn w:val="DefaultParagraphFont"/>
    <w:uiPriority w:val="21"/>
    <w:qFormat/>
    <w:rsid w:val="001670C7"/>
    <w:rPr>
      <w:b/>
      <w:bCs/>
      <w:i/>
      <w:iCs/>
      <w:color w:val="4F81BD" w:themeColor="accent1"/>
    </w:rPr>
  </w:style>
  <w:style w:type="character" w:styleId="SubtleReference">
    <w:name w:val="Subtle Reference"/>
    <w:basedOn w:val="DefaultParagraphFont"/>
    <w:uiPriority w:val="31"/>
    <w:qFormat/>
    <w:rsid w:val="001670C7"/>
    <w:rPr>
      <w:smallCaps/>
      <w:color w:val="C0504D" w:themeColor="accent2"/>
      <w:u w:val="single"/>
    </w:rPr>
  </w:style>
  <w:style w:type="character" w:styleId="IntenseReference">
    <w:name w:val="Intense Reference"/>
    <w:basedOn w:val="DefaultParagraphFont"/>
    <w:uiPriority w:val="32"/>
    <w:qFormat/>
    <w:rsid w:val="001670C7"/>
    <w:rPr>
      <w:b/>
      <w:bCs/>
      <w:smallCaps/>
      <w:color w:val="C0504D" w:themeColor="accent2"/>
      <w:spacing w:val="5"/>
      <w:u w:val="single"/>
    </w:rPr>
  </w:style>
  <w:style w:type="character" w:styleId="BookTitle">
    <w:name w:val="Book Title"/>
    <w:basedOn w:val="DefaultParagraphFont"/>
    <w:uiPriority w:val="33"/>
    <w:qFormat/>
    <w:rsid w:val="001670C7"/>
    <w:rPr>
      <w:b/>
      <w:bCs/>
      <w:smallCaps/>
      <w:spacing w:val="5"/>
    </w:rPr>
  </w:style>
  <w:style w:type="paragraph" w:styleId="TOCHeading">
    <w:name w:val="TOC Heading"/>
    <w:basedOn w:val="Heading1"/>
    <w:next w:val="Normal"/>
    <w:uiPriority w:val="39"/>
    <w:semiHidden/>
    <w:unhideWhenUsed/>
    <w:qFormat/>
    <w:rsid w:val="001670C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AU"/>
              <a:t>Census Participation</a:t>
            </a:r>
          </a:p>
        </c:rich>
      </c:tx>
      <c:layout/>
      <c:overlay val="0"/>
    </c:title>
    <c:autoTitleDeleted val="0"/>
    <c:plotArea>
      <c:layout/>
      <c:barChart>
        <c:barDir val="col"/>
        <c:grouping val="clustered"/>
        <c:varyColors val="0"/>
        <c:ser>
          <c:idx val="0"/>
          <c:order val="0"/>
          <c:tx>
            <c:strRef>
              <c:f>Sheet1!$A$2</c:f>
              <c:strCache>
                <c:ptCount val="1"/>
                <c:pt idx="0">
                  <c:v>Groups</c:v>
                </c:pt>
              </c:strCache>
            </c:strRef>
          </c:tx>
          <c:invertIfNegative val="0"/>
          <c:cat>
            <c:strRef>
              <c:f>Sheet1!$B$1:$F$1</c:f>
              <c:strCache>
                <c:ptCount val="5"/>
                <c:pt idx="0">
                  <c:v>2002</c:v>
                </c:pt>
                <c:pt idx="1">
                  <c:v>2003</c:v>
                </c:pt>
                <c:pt idx="2">
                  <c:v>2004</c:v>
                </c:pt>
                <c:pt idx="3">
                  <c:v>2005</c:v>
                </c:pt>
                <c:pt idx="4">
                  <c:v>2006</c:v>
                </c:pt>
              </c:strCache>
            </c:strRef>
          </c:cat>
          <c:val>
            <c:numRef>
              <c:f>Sheet1!$B$2:$F$2</c:f>
              <c:numCache>
                <c:formatCode>General</c:formatCode>
                <c:ptCount val="5"/>
                <c:pt idx="0">
                  <c:v>345</c:v>
                </c:pt>
                <c:pt idx="1">
                  <c:v>477</c:v>
                </c:pt>
                <c:pt idx="2">
                  <c:v>665</c:v>
                </c:pt>
                <c:pt idx="3">
                  <c:v>680</c:v>
                </c:pt>
                <c:pt idx="4">
                  <c:v>755</c:v>
                </c:pt>
              </c:numCache>
            </c:numRef>
          </c:val>
        </c:ser>
        <c:ser>
          <c:idx val="1"/>
          <c:order val="1"/>
          <c:tx>
            <c:strRef>
              <c:f>Sheet1!$A$3</c:f>
              <c:strCache>
                <c:ptCount val="1"/>
                <c:pt idx="0">
                  <c:v>Volunteers</c:v>
                </c:pt>
              </c:strCache>
            </c:strRef>
          </c:tx>
          <c:invertIfNegative val="0"/>
          <c:cat>
            <c:strRef>
              <c:f>Sheet1!$B$1:$F$1</c:f>
              <c:strCache>
                <c:ptCount val="5"/>
                <c:pt idx="0">
                  <c:v>2002</c:v>
                </c:pt>
                <c:pt idx="1">
                  <c:v>2003</c:v>
                </c:pt>
                <c:pt idx="2">
                  <c:v>2004</c:v>
                </c:pt>
                <c:pt idx="3">
                  <c:v>2005</c:v>
                </c:pt>
                <c:pt idx="4">
                  <c:v>2006</c:v>
                </c:pt>
              </c:strCache>
            </c:strRef>
          </c:cat>
          <c:val>
            <c:numRef>
              <c:f>Sheet1!$B$3:$F$3</c:f>
              <c:numCache>
                <c:formatCode>General</c:formatCode>
                <c:ptCount val="5"/>
                <c:pt idx="0">
                  <c:v>689</c:v>
                </c:pt>
                <c:pt idx="1">
                  <c:v>901</c:v>
                </c:pt>
                <c:pt idx="2">
                  <c:v>988</c:v>
                </c:pt>
                <c:pt idx="3">
                  <c:v>1002</c:v>
                </c:pt>
                <c:pt idx="4">
                  <c:v>1023</c:v>
                </c:pt>
              </c:numCache>
            </c:numRef>
          </c:val>
        </c:ser>
        <c:ser>
          <c:idx val="2"/>
          <c:order val="2"/>
          <c:tx>
            <c:strRef>
              <c:f>Sheet1!$A$4</c:f>
              <c:strCache>
                <c:ptCount val="1"/>
                <c:pt idx="0">
                  <c:v>Sites</c:v>
                </c:pt>
              </c:strCache>
            </c:strRef>
          </c:tx>
          <c:invertIfNegative val="0"/>
          <c:cat>
            <c:strRef>
              <c:f>Sheet1!$B$1:$F$1</c:f>
              <c:strCache>
                <c:ptCount val="5"/>
                <c:pt idx="0">
                  <c:v>2002</c:v>
                </c:pt>
                <c:pt idx="1">
                  <c:v>2003</c:v>
                </c:pt>
                <c:pt idx="2">
                  <c:v>2004</c:v>
                </c:pt>
                <c:pt idx="3">
                  <c:v>2005</c:v>
                </c:pt>
                <c:pt idx="4">
                  <c:v>2006</c:v>
                </c:pt>
              </c:strCache>
            </c:strRef>
          </c:cat>
          <c:val>
            <c:numRef>
              <c:f>Sheet1!$B$4:$F$4</c:f>
              <c:numCache>
                <c:formatCode>General</c:formatCode>
                <c:ptCount val="5"/>
                <c:pt idx="0">
                  <c:v>503</c:v>
                </c:pt>
                <c:pt idx="1">
                  <c:v>670</c:v>
                </c:pt>
                <c:pt idx="2">
                  <c:v>818</c:v>
                </c:pt>
                <c:pt idx="3">
                  <c:v>897</c:v>
                </c:pt>
                <c:pt idx="4">
                  <c:v>946</c:v>
                </c:pt>
              </c:numCache>
            </c:numRef>
          </c:val>
        </c:ser>
        <c:ser>
          <c:idx val="3"/>
          <c:order val="3"/>
          <c:tx>
            <c:strRef>
              <c:f>Sheet1!$A$5</c:f>
              <c:strCache>
                <c:ptCount val="1"/>
                <c:pt idx="0">
                  <c:v>Recordings</c:v>
                </c:pt>
              </c:strCache>
            </c:strRef>
          </c:tx>
          <c:invertIfNegative val="0"/>
          <c:cat>
            <c:strRef>
              <c:f>Sheet1!$B$1:$F$1</c:f>
              <c:strCache>
                <c:ptCount val="5"/>
                <c:pt idx="0">
                  <c:v>2002</c:v>
                </c:pt>
                <c:pt idx="1">
                  <c:v>2003</c:v>
                </c:pt>
                <c:pt idx="2">
                  <c:v>2004</c:v>
                </c:pt>
                <c:pt idx="3">
                  <c:v>2005</c:v>
                </c:pt>
                <c:pt idx="4">
                  <c:v>2006</c:v>
                </c:pt>
              </c:strCache>
            </c:strRef>
          </c:cat>
          <c:val>
            <c:numRef>
              <c:f>Sheet1!$B$5:$F$5</c:f>
              <c:numCache>
                <c:formatCode>General</c:formatCode>
                <c:ptCount val="5"/>
                <c:pt idx="0">
                  <c:v>877</c:v>
                </c:pt>
                <c:pt idx="1">
                  <c:v>1148</c:v>
                </c:pt>
                <c:pt idx="2">
                  <c:v>1239</c:v>
                </c:pt>
                <c:pt idx="3">
                  <c:v>1776</c:v>
                </c:pt>
                <c:pt idx="4">
                  <c:v>1905</c:v>
                </c:pt>
              </c:numCache>
            </c:numRef>
          </c:val>
        </c:ser>
        <c:dLbls>
          <c:showLegendKey val="0"/>
          <c:showVal val="0"/>
          <c:showCatName val="0"/>
          <c:showSerName val="0"/>
          <c:showPercent val="0"/>
          <c:showBubbleSize val="0"/>
        </c:dLbls>
        <c:gapWidth val="150"/>
        <c:axId val="-2025048384"/>
        <c:axId val="-2025045120"/>
      </c:barChart>
      <c:catAx>
        <c:axId val="-2025048384"/>
        <c:scaling>
          <c:orientation val="minMax"/>
        </c:scaling>
        <c:delete val="0"/>
        <c:axPos val="b"/>
        <c:numFmt formatCode="General" sourceLinked="0"/>
        <c:majorTickMark val="none"/>
        <c:minorTickMark val="none"/>
        <c:tickLblPos val="nextTo"/>
        <c:crossAx val="-2025045120"/>
        <c:crosses val="autoZero"/>
        <c:auto val="1"/>
        <c:lblAlgn val="ctr"/>
        <c:lblOffset val="100"/>
        <c:noMultiLvlLbl val="0"/>
      </c:catAx>
      <c:valAx>
        <c:axId val="-2025045120"/>
        <c:scaling>
          <c:orientation val="minMax"/>
        </c:scaling>
        <c:delete val="0"/>
        <c:axPos val="l"/>
        <c:majorGridlines/>
        <c:numFmt formatCode="General" sourceLinked="1"/>
        <c:majorTickMark val="none"/>
        <c:minorTickMark val="none"/>
        <c:tickLblPos val="nextTo"/>
        <c:crossAx val="-2025048384"/>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CF236-2C23-4CC3-8803-94904BE6F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2015-03-11T05:28:00Z</dcterms:created>
  <dcterms:modified xsi:type="dcterms:W3CDTF">2015-03-11T05:28:00Z</dcterms:modified>
</cp:coreProperties>
</file>