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3901440" cy="3124200"/>
            <wp:effectExtent l="19050" t="0" r="3810" b="0"/>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3901440" cy="3124200"/>
                    </a:xfrm>
                    <a:prstGeom prst="rect">
                      <a:avLst/>
                    </a:prstGeom>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6010"/>
    <w:rsid w:val="001E652B"/>
    <w:rsid w:val="00244690"/>
    <w:rsid w:val="00244D9D"/>
    <w:rsid w:val="00251DE7"/>
    <w:rsid w:val="00284FD1"/>
    <w:rsid w:val="002977A4"/>
    <w:rsid w:val="002B2A53"/>
    <w:rsid w:val="00346738"/>
    <w:rsid w:val="003662D8"/>
    <w:rsid w:val="003A0DDA"/>
    <w:rsid w:val="003F1084"/>
    <w:rsid w:val="00473377"/>
    <w:rsid w:val="004A7A02"/>
    <w:rsid w:val="00583755"/>
    <w:rsid w:val="005C123F"/>
    <w:rsid w:val="00705188"/>
    <w:rsid w:val="00751552"/>
    <w:rsid w:val="008333B7"/>
    <w:rsid w:val="00864611"/>
    <w:rsid w:val="00893C3E"/>
    <w:rsid w:val="0089529C"/>
    <w:rsid w:val="008C70E1"/>
    <w:rsid w:val="008F3875"/>
    <w:rsid w:val="009228DF"/>
    <w:rsid w:val="009861ED"/>
    <w:rsid w:val="00A20CD1"/>
    <w:rsid w:val="00A369A3"/>
    <w:rsid w:val="00A61CE0"/>
    <w:rsid w:val="00B07B29"/>
    <w:rsid w:val="00C07B72"/>
    <w:rsid w:val="00C75475"/>
    <w:rsid w:val="00C951C6"/>
    <w:rsid w:val="00C955CA"/>
    <w:rsid w:val="00C96E9C"/>
    <w:rsid w:val="00CC330A"/>
    <w:rsid w:val="00D22B2C"/>
    <w:rsid w:val="00DC5B2D"/>
    <w:rsid w:val="00DF0162"/>
    <w:rsid w:val="00E01E58"/>
    <w:rsid w:val="00E21370"/>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