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15261B">
      <w:pPr>
        <w:pStyle w:val="Title"/>
        <w:rPr>
          <w:rFonts w:eastAsia="Times New Roman"/>
        </w:rPr>
      </w:pPr>
      <w:bookmarkStart w:id="0" w:name="_GoBack"/>
      <w:bookmarkEnd w:id="0"/>
      <w:r>
        <w:rPr>
          <w:noProof/>
          <w:lang w:val="en-AU" w:eastAsia="en-AU"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C2645"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4"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BA0514">
      <w:pPr>
        <w:spacing w:before="100" w:beforeAutospacing="1" w:after="100" w:afterAutospacing="1" w:line="280" w:lineRule="atLeast"/>
      </w:pPr>
      <w:r>
        <w:rPr>
          <w:noProof/>
          <w:lang w:eastAsia="en-AU"/>
        </w:rPr>
        <mc:AlternateContent>
          <mc:Choice Requires="wps">
            <w:drawing>
              <wp:anchor distT="0" distB="0" distL="114300" distR="114300" simplePos="0" relativeHeight="251662336" behindDoc="0" locked="0" layoutInCell="1" allowOverlap="1" wp14:anchorId="6F3F139F" wp14:editId="61E0A156">
                <wp:simplePos x="0" y="0"/>
                <wp:positionH relativeFrom="column">
                  <wp:posOffset>1080135</wp:posOffset>
                </wp:positionH>
                <wp:positionV relativeFrom="paragraph">
                  <wp:posOffset>2073275</wp:posOffset>
                </wp:positionV>
                <wp:extent cx="3004185" cy="2386330"/>
                <wp:effectExtent l="19050" t="19050" r="24765" b="13970"/>
                <wp:wrapSquare wrapText="bothSides"/>
                <wp:docPr id="5" name="Rectangle 5"/>
                <wp:cNvGraphicFramePr/>
                <a:graphic xmlns:a="http://schemas.openxmlformats.org/drawingml/2006/main">
                  <a:graphicData uri="http://schemas.microsoft.com/office/word/2010/wordprocessingShape">
                    <wps:wsp>
                      <wps:cNvSpPr/>
                      <wps:spPr>
                        <a:xfrm>
                          <a:off x="0" y="0"/>
                          <a:ext cx="3004185" cy="2386330"/>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623CC4" id="Rectangle 5" o:spid="_x0000_s1026" style="position:absolute;margin-left:85.05pt;margin-top:163.25pt;width:236.55pt;height:187.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" fillcolor="#ece8e1 [662]" strokecolor="#68230b [1604]" strokeweight="3pt">
                <w10:wrap type="square"/>
              </v:rect>
            </w:pict>
          </mc:Fallback>
        </mc:AlternateContent>
      </w:r>
      <w:r w:rsidR="00E86BA0"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4704D4">
      <w:pPr>
        <w:spacing w:before="100" w:beforeAutospacing="1" w:after="100" w:afterAutospacing="1" w:line="280" w:lineRule="atLeast"/>
      </w:pPr>
      <w:bookmarkStart w:id="1" w:name="s18"/>
      <w:bookmarkStart w:id="2" w:name="p2"/>
      <w:bookmarkEnd w:id="1"/>
      <w:bookmarkEnd w:id="2"/>
      <w:r>
        <w:rPr>
          <w:noProof/>
          <w:lang w:eastAsia="en-AU"/>
        </w:rPr>
        <mc:AlternateContent>
          <mc:Choice Requires="wps">
            <w:drawing>
              <wp:anchor distT="0" distB="0" distL="114300" distR="114300" simplePos="0" relativeHeight="251661312" behindDoc="0" locked="0" layoutInCell="1" allowOverlap="1" wp14:anchorId="0E150A31" wp14:editId="5834A269">
                <wp:simplePos x="0" y="0"/>
                <wp:positionH relativeFrom="column">
                  <wp:posOffset>1804958</wp:posOffset>
                </wp:positionH>
                <wp:positionV relativeFrom="paragraph">
                  <wp:posOffset>592867</wp:posOffset>
                </wp:positionV>
                <wp:extent cx="1567543" cy="819398"/>
                <wp:effectExtent l="38100" t="38100" r="33020" b="133350"/>
                <wp:wrapNone/>
                <wp:docPr id="4" name="Oval Callout 4"/>
                <wp:cNvGraphicFramePr/>
                <a:graphic xmlns:a="http://schemas.openxmlformats.org/drawingml/2006/main">
                  <a:graphicData uri="http://schemas.microsoft.com/office/word/2010/wordprocessingShape">
                    <wps:wsp>
                      <wps:cNvSpPr/>
                      <wps:spPr>
                        <a:xfrm>
                          <a:off x="0" y="0"/>
                          <a:ext cx="1567543" cy="819398"/>
                        </a:xfrm>
                        <a:prstGeom prst="wedgeEllipseCallou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4704D4" w:rsidRDefault="004704D4" w:rsidP="004704D4">
                            <w:pPr>
                              <w:jc w:val="center"/>
                            </w:pPr>
                            <w:r>
                              <w:t xml:space="preserve">You’ve figured </w:t>
                            </w:r>
                            <w:proofErr w:type="gramStart"/>
                            <w:r>
                              <w:t>it  out</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150A31"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4" o:spid="_x0000_s1027" type="#_x0000_t63" style="position:absolute;margin-left:142.1pt;margin-top:46.7pt;width:123.45pt;height: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" adj="6300,24300" fillcolor="#a28e6a [3206]" strokecolor="#524633 [1606]" strokeweight="3pt">
                <v:textbox>
                  <w:txbxContent>
                    <w:p w:rsidR="004704D4" w:rsidRDefault="004704D4" w:rsidP="004704D4">
                      <w:pPr>
                        <w:jc w:val="center"/>
                      </w:pPr>
                      <w:r>
                        <w:t xml:space="preserve">You’ve figured </w:t>
                      </w:r>
                      <w:proofErr w:type="gramStart"/>
                      <w:r>
                        <w:t>it  out</w:t>
                      </w:r>
                      <w:proofErr w:type="gramEnd"/>
                      <w:r>
                        <w:t>!</w:t>
                      </w:r>
                    </w:p>
                  </w:txbxContent>
                </v:textbox>
              </v:shape>
            </w:pict>
          </mc:Fallback>
        </mc:AlternateContent>
      </w:r>
      <w:r w:rsidR="00482F47">
        <w:rPr>
          <w:noProof/>
          <w:lang w:eastAsia="en-AU"/>
        </w:rPr>
        <mc:AlternateContent>
          <mc:Choice Requires="wps">
            <w:drawing>
              <wp:anchor distT="0" distB="0" distL="114300" distR="114300" simplePos="0" relativeHeight="251660288" behindDoc="0" locked="0" layoutInCell="1" allowOverlap="1" wp14:anchorId="5C4753EE" wp14:editId="376BC381">
                <wp:simplePos x="0" y="0"/>
                <wp:positionH relativeFrom="column">
                  <wp:posOffset>1389413</wp:posOffset>
                </wp:positionH>
                <wp:positionV relativeFrom="paragraph">
                  <wp:posOffset>213302</wp:posOffset>
                </wp:positionV>
                <wp:extent cx="1223158" cy="534390"/>
                <wp:effectExtent l="19050" t="19050" r="15240" b="18415"/>
                <wp:wrapNone/>
                <wp:docPr id="3" name="Oval 3"/>
                <wp:cNvGraphicFramePr/>
                <a:graphic xmlns:a="http://schemas.openxmlformats.org/drawingml/2006/main">
                  <a:graphicData uri="http://schemas.microsoft.com/office/word/2010/wordprocessingShape">
                    <wps:wsp>
                      <wps:cNvSpPr/>
                      <wps:spPr>
                        <a:xfrm>
                          <a:off x="0" y="0"/>
                          <a:ext cx="1223158" cy="5343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82F47" w:rsidRDefault="00482F47" w:rsidP="00482F47">
                            <w:pPr>
                              <w:jc w:val="center"/>
                            </w:pPr>
                            <w:r>
                              <w:t>Surprise!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4753EE" id="Oval 3" o:spid="_x0000_s1028" style="position:absolute;margin-left:109.4pt;margin-top:16.8pt;width:96.3pt;height:4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" fillcolor="#d34817 [3204]" strokecolor="#68230b [1604]" strokeweight="3pt">
                <v:textbox>
                  <w:txbxContent>
                    <w:p w:rsidR="00482F47" w:rsidRDefault="00482F47" w:rsidP="00482F47">
                      <w:pPr>
                        <w:jc w:val="center"/>
                      </w:pPr>
                      <w:r>
                        <w:t>Surprise!</w:t>
                      </w:r>
                    </w:p>
                  </w:txbxContent>
                </v:textbox>
              </v:oval>
            </w:pict>
          </mc:Fallback>
        </mc:AlternateContent>
      </w:r>
      <w:r w:rsidR="00E86BA0"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 xml:space="preserve">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w:t>
      </w:r>
      <w:r w:rsidRPr="00E86BA0">
        <w:lastRenderedPageBreak/>
        <w:t>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3469B"/>
    <w:rsid w:val="00080B7F"/>
    <w:rsid w:val="000A00E4"/>
    <w:rsid w:val="000C04FF"/>
    <w:rsid w:val="0015261B"/>
    <w:rsid w:val="00154864"/>
    <w:rsid w:val="00235E2F"/>
    <w:rsid w:val="0029759B"/>
    <w:rsid w:val="00347529"/>
    <w:rsid w:val="004704D4"/>
    <w:rsid w:val="00482F47"/>
    <w:rsid w:val="004F2FE0"/>
    <w:rsid w:val="00583C06"/>
    <w:rsid w:val="0065628E"/>
    <w:rsid w:val="00672A29"/>
    <w:rsid w:val="00682107"/>
    <w:rsid w:val="00706C0B"/>
    <w:rsid w:val="007A2138"/>
    <w:rsid w:val="00847DA8"/>
    <w:rsid w:val="008F45AD"/>
    <w:rsid w:val="00901DF8"/>
    <w:rsid w:val="00AB58BE"/>
    <w:rsid w:val="00B32FE8"/>
    <w:rsid w:val="00B3399D"/>
    <w:rsid w:val="00BA0514"/>
    <w:rsid w:val="00BC1C7D"/>
    <w:rsid w:val="00C37641"/>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3575</Characters>
  <Application>Microsoft Office Word</Application>
  <DocSecurity>0</DocSecurity>
  <Lines>29</Lines>
  <Paragraphs>8</Paragraphs>
  <ScaleCrop>false</ScaleCrop>
  <Company/>
  <LinksUpToDate>false</LinksUpToDate>
  <CharactersWithSpaces>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